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765C" w14:textId="0856A513" w:rsidR="00C2233C" w:rsidRDefault="00C2233C" w:rsidP="00C2233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Anexa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8</w:t>
      </w:r>
      <w:bookmarkStart w:id="0" w:name="_GoBack"/>
      <w:bookmarkEnd w:id="0"/>
    </w:p>
    <w:p w14:paraId="46A4D3E2" w14:textId="3E232252" w:rsidR="005E47C9" w:rsidRPr="005E47C9" w:rsidRDefault="005E47C9" w:rsidP="005E47C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7C9">
        <w:rPr>
          <w:rFonts w:ascii="Arial" w:hAnsi="Arial" w:cs="Arial"/>
          <w:b/>
          <w:sz w:val="24"/>
          <w:szCs w:val="24"/>
          <w:u w:val="single"/>
        </w:rPr>
        <w:t>FIȘA MĂSURII 6/6B</w:t>
      </w:r>
    </w:p>
    <w:p w14:paraId="3C616768" w14:textId="77777777" w:rsidR="005E47C9" w:rsidRPr="005E47C9" w:rsidRDefault="005E47C9" w:rsidP="005E47C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8E69B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color w:val="000000"/>
          <w:sz w:val="24"/>
          <w:szCs w:val="24"/>
        </w:rPr>
        <w:t>Denumirea</w:t>
      </w:r>
      <w:proofErr w:type="spellEnd"/>
      <w:r w:rsidRPr="005E47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color w:val="000000"/>
          <w:sz w:val="24"/>
          <w:szCs w:val="24"/>
        </w:rPr>
        <w:t>măsurii</w:t>
      </w:r>
      <w:proofErr w:type="spellEnd"/>
      <w:r w:rsidRPr="005E47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E47C9">
        <w:rPr>
          <w:rFonts w:ascii="Arial" w:hAnsi="Arial" w:cs="Arial"/>
          <w:b/>
          <w:i/>
          <w:sz w:val="24"/>
          <w:szCs w:val="24"/>
        </w:rPr>
        <w:t>–</w:t>
      </w:r>
      <w:r w:rsidRPr="005E47C9">
        <w:rPr>
          <w:rFonts w:ascii="Arial" w:hAnsi="Arial" w:cs="Arial"/>
          <w:b/>
          <w:i/>
          <w:color w:val="000000"/>
          <w:sz w:val="24"/>
          <w:szCs w:val="24"/>
        </w:rPr>
        <w:t>„</w:t>
      </w:r>
      <w:proofErr w:type="spellStart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dezvoltarea</w:t>
      </w:r>
      <w:proofErr w:type="spellEnd"/>
      <w:r w:rsidRPr="005E47C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infrastructurii</w:t>
      </w:r>
      <w:proofErr w:type="spellEnd"/>
      <w:r w:rsidRPr="005E47C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5E47C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943C2B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47C9">
        <w:rPr>
          <w:rFonts w:ascii="Arial" w:hAnsi="Arial" w:cs="Arial"/>
          <w:b/>
          <w:bCs/>
          <w:sz w:val="24"/>
          <w:szCs w:val="24"/>
        </w:rPr>
        <w:t xml:space="preserve">CODUL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Măsurii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– M6/6B</w:t>
      </w:r>
    </w:p>
    <w:p w14:paraId="1792C55F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AA98E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Tipul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măsurii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:   </w:t>
      </w:r>
    </w:p>
    <w:p w14:paraId="4FB8325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E47C9">
        <w:rPr>
          <w:rFonts w:ascii="Arial" w:hAnsi="Arial" w:cs="Arial"/>
          <w:b/>
          <w:bCs/>
          <w:sz w:val="24"/>
          <w:szCs w:val="24"/>
        </w:rPr>
        <w:t>X INVESTIȚII</w:t>
      </w:r>
    </w:p>
    <w:p w14:paraId="686F8FB6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5E47C9">
        <w:rPr>
          <w:rFonts w:ascii="Arial" w:hAnsi="Arial" w:cs="Arial"/>
          <w:bCs/>
          <w:sz w:val="24"/>
          <w:szCs w:val="24"/>
        </w:rPr>
        <w:t xml:space="preserve">□ SERVICII </w:t>
      </w:r>
    </w:p>
    <w:p w14:paraId="1AE93919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E47C9">
        <w:rPr>
          <w:rFonts w:ascii="Arial" w:hAnsi="Arial" w:cs="Arial"/>
          <w:bCs/>
          <w:sz w:val="24"/>
          <w:szCs w:val="24"/>
        </w:rPr>
        <w:t xml:space="preserve">□ SPRIJIN FORFETAR </w:t>
      </w:r>
    </w:p>
    <w:p w14:paraId="004030DA" w14:textId="77777777" w:rsidR="005E47C9" w:rsidRPr="005E47C9" w:rsidRDefault="005E47C9" w:rsidP="005E47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60" w:hanging="46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Descrierea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generală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măsurii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inclusiv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logicii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intervenție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acesteia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contribuției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prioritățile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strategiei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,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domeniile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intervenție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,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obiectivele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transversale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complementarității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alte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măsuri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din SDL</w:t>
      </w:r>
    </w:p>
    <w:p w14:paraId="399EDA96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Proiectele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finanţate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cadrul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acestei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viza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tip “hard” </w:t>
      </w:r>
      <w:proofErr w:type="spellStart"/>
      <w:r w:rsidRPr="005E47C9">
        <w:rPr>
          <w:rFonts w:ascii="Arial" w:hAnsi="Arial" w:cs="Arial"/>
          <w:sz w:val="24"/>
          <w:szCs w:val="24"/>
        </w:rPr>
        <w:t>urmând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5E47C9">
        <w:rPr>
          <w:rFonts w:ascii="Arial" w:hAnsi="Arial" w:cs="Arial"/>
          <w:sz w:val="24"/>
          <w:szCs w:val="24"/>
        </w:rPr>
        <w:t>investiţiile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tip “soft”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5E47C9">
        <w:rPr>
          <w:rFonts w:ascii="Arial" w:hAnsi="Arial" w:cs="Arial"/>
          <w:sz w:val="24"/>
          <w:szCs w:val="24"/>
        </w:rPr>
        <w:t>asigurate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accesarea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Obiectivului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specific 5.2 din </w:t>
      </w:r>
      <w:proofErr w:type="spellStart"/>
      <w:r w:rsidRPr="005E47C9">
        <w:rPr>
          <w:rFonts w:ascii="Arial" w:hAnsi="Arial" w:cs="Arial"/>
          <w:sz w:val="24"/>
          <w:szCs w:val="24"/>
        </w:rPr>
        <w:t>cadrul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POCU 2014-2020. </w:t>
      </w:r>
      <w:proofErr w:type="spellStart"/>
      <w:r w:rsidRPr="005E47C9">
        <w:rPr>
          <w:rFonts w:ascii="Arial" w:hAnsi="Arial" w:cs="Arial"/>
          <w:sz w:val="24"/>
          <w:szCs w:val="24"/>
        </w:rPr>
        <w:t>Investiţiile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tip “soft” </w:t>
      </w:r>
      <w:proofErr w:type="spellStart"/>
      <w:r w:rsidRPr="005E47C9">
        <w:rPr>
          <w:rFonts w:ascii="Arial" w:hAnsi="Arial" w:cs="Arial"/>
          <w:sz w:val="24"/>
          <w:szCs w:val="24"/>
        </w:rPr>
        <w:t>contribuie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</w:rPr>
        <w:t>integrarea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grupurilor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vulnerabile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vizate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proiectele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finanţate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asigurarea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accesului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calitative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educaţie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formare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profesională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acoperirea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cheltuielilor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funcţionarea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desfăşurarea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activităţilor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aferente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investiţiilor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tip “hard” </w:t>
      </w:r>
      <w:proofErr w:type="spellStart"/>
      <w:r w:rsidRPr="005E47C9">
        <w:rPr>
          <w:rFonts w:ascii="Arial" w:hAnsi="Arial" w:cs="Arial"/>
          <w:sz w:val="24"/>
          <w:szCs w:val="24"/>
        </w:rPr>
        <w:t>finanţate</w:t>
      </w:r>
      <w:proofErr w:type="spellEnd"/>
      <w:r w:rsidRPr="005E47C9">
        <w:rPr>
          <w:rFonts w:ascii="Arial" w:hAnsi="Arial" w:cs="Arial"/>
          <w:sz w:val="24"/>
          <w:szCs w:val="24"/>
        </w:rPr>
        <w:t>.</w:t>
      </w:r>
    </w:p>
    <w:p w14:paraId="1E347999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masura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nu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finantate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infrastructuri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de tip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rezidential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>.</w:t>
      </w:r>
    </w:p>
    <w:p w14:paraId="5E29A0E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au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drept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scop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sprijinirea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vulnerabile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depăşirea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situaţiilor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dificultate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prevenirea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combaterea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riscului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excluziune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creşterea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calităţii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vieţii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promovarea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incluziunii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acestora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acoperă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gamă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largă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diversă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care sunt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accesibile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cetăţenilor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pe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bază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necontributivă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constituie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răspuns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adaptat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diferitele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nevoi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situaţii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vulnerabilitate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E47C9">
        <w:rPr>
          <w:rFonts w:ascii="Arial" w:hAnsi="Arial" w:cs="Arial"/>
          <w:sz w:val="24"/>
          <w:szCs w:val="24"/>
        </w:rPr>
        <w:t>Investiţiile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susţinute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cadrul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acestei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5E47C9">
        <w:rPr>
          <w:rFonts w:ascii="Arial" w:hAnsi="Arial" w:cs="Arial"/>
          <w:sz w:val="24"/>
          <w:szCs w:val="24"/>
        </w:rPr>
        <w:t>viza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dezvoltarea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serviciilor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dotările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echipamentele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aferente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înfiinţării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s-au </w:t>
      </w:r>
      <w:proofErr w:type="spellStart"/>
      <w:r w:rsidRPr="005E47C9">
        <w:rPr>
          <w:rFonts w:ascii="Arial" w:hAnsi="Arial" w:cs="Arial"/>
          <w:sz w:val="24"/>
          <w:szCs w:val="24"/>
        </w:rPr>
        <w:t>dezvoltării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unui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5E47C9">
        <w:rPr>
          <w:rFonts w:ascii="Arial" w:hAnsi="Arial" w:cs="Arial"/>
          <w:sz w:val="24"/>
          <w:szCs w:val="24"/>
        </w:rPr>
        <w:t>specializat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integrat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E47C9">
        <w:rPr>
          <w:rFonts w:ascii="Arial" w:hAnsi="Arial" w:cs="Arial"/>
          <w:sz w:val="24"/>
          <w:szCs w:val="24"/>
        </w:rPr>
        <w:t>inclusiv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medicale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) care </w:t>
      </w:r>
      <w:proofErr w:type="spellStart"/>
      <w:r w:rsidRPr="005E47C9">
        <w:rPr>
          <w:rFonts w:ascii="Arial" w:hAnsi="Arial" w:cs="Arial"/>
          <w:sz w:val="24"/>
          <w:szCs w:val="24"/>
        </w:rPr>
        <w:t>asigură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>/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medicale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specialitate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grupurile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vulnerabile</w:t>
      </w:r>
      <w:proofErr w:type="spellEnd"/>
      <w:r w:rsidRPr="005E47C9">
        <w:rPr>
          <w:rFonts w:ascii="Arial" w:hAnsi="Arial" w:cs="Arial"/>
          <w:sz w:val="24"/>
          <w:szCs w:val="24"/>
        </w:rPr>
        <w:t>.</w:t>
      </w:r>
    </w:p>
    <w:p w14:paraId="7E0F5C5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Obiective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dezvoltare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rurală</w:t>
      </w:r>
      <w:proofErr w:type="spellEnd"/>
    </w:p>
    <w:p w14:paraId="2E576BC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</w:rPr>
        <w:t>c)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obţinerea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dezvoltări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teritoriale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echilibrate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economiilor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comunităţilor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E47C9">
        <w:rPr>
          <w:rFonts w:ascii="Arial" w:hAnsi="Arial" w:cs="Arial"/>
          <w:color w:val="000000"/>
          <w:sz w:val="24"/>
          <w:szCs w:val="24"/>
        </w:rPr>
        <w:t>rurale,inclusiv</w:t>
      </w:r>
      <w:proofErr w:type="spellEnd"/>
      <w:proofErr w:type="gram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crearea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menţinerea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locuri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muncă</w:t>
      </w:r>
      <w:proofErr w:type="spellEnd"/>
    </w:p>
    <w:p w14:paraId="6ACF4F71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Obiectivele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specifice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ale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sunt:</w:t>
      </w:r>
    </w:p>
    <w:p w14:paraId="2E279631" w14:textId="77777777" w:rsidR="005E47C9" w:rsidRPr="005E47C9" w:rsidRDefault="005E47C9" w:rsidP="005E47C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Îmbunătățirea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calităţii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locale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infrastructura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</w:p>
    <w:p w14:paraId="3FB99E42" w14:textId="77777777" w:rsidR="005E47C9" w:rsidRPr="005E47C9" w:rsidRDefault="005E47C9" w:rsidP="005E47C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Îmbunătăţirea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calităţii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vieţii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furnizarea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adaptate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fiecărui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vulnerabil</w:t>
      </w:r>
      <w:proofErr w:type="spellEnd"/>
    </w:p>
    <w:p w14:paraId="4EF91641" w14:textId="77777777" w:rsidR="005E47C9" w:rsidRPr="005E47C9" w:rsidRDefault="005E47C9" w:rsidP="005E47C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Creşterea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speranţei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viaţă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oferirea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continue la un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profesional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ridicat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special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categoriilor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prezintă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risc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ridicat</w:t>
      </w:r>
      <w:proofErr w:type="spellEnd"/>
    </w:p>
    <w:p w14:paraId="44D79201" w14:textId="77777777" w:rsidR="005E47C9" w:rsidRPr="005E47C9" w:rsidRDefault="005E47C9" w:rsidP="005E47C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crearea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îmbunatăţirea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adaptarea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standardele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funcţionare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siguranţă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infrastructurii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incluzând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producere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energie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surse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regenerabile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economisire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energiei</w:t>
      </w:r>
      <w:proofErr w:type="spellEnd"/>
    </w:p>
    <w:p w14:paraId="1D091AC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Măsura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contribuie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prioritatea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P6</w:t>
      </w:r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Promovarea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incluziunii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,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reducerii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sărăciei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dezvoltării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economice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zonele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rurale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>,</w:t>
      </w:r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prevăzută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art. 5, Reg. (UE) nr.1305/2013.</w:t>
      </w:r>
    </w:p>
    <w:p w14:paraId="015481F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corespunde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obiectivelor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art. 20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bază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reînnoirea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satelor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zonele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rurale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0B5D8A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b) </w:t>
      </w:r>
      <w:proofErr w:type="spellStart"/>
      <w:r w:rsidRPr="005E47C9">
        <w:rPr>
          <w:rFonts w:ascii="Arial" w:hAnsi="Arial" w:cs="Arial"/>
          <w:sz w:val="24"/>
          <w:szCs w:val="24"/>
        </w:rPr>
        <w:t>investiții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crearea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îmbunătățirea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extinderea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tuturor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tipurilor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</w:rPr>
        <w:t>scară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mică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inclusiv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investiții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domeniul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energiei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surse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regenerabile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E47C9">
        <w:rPr>
          <w:rFonts w:ascii="Arial" w:hAnsi="Arial" w:cs="Arial"/>
          <w:sz w:val="24"/>
          <w:szCs w:val="24"/>
        </w:rPr>
        <w:t>economisirii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energiei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; </w:t>
      </w:r>
    </w:p>
    <w:p w14:paraId="29104B6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47C9">
        <w:rPr>
          <w:rFonts w:ascii="Arial" w:hAnsi="Arial" w:cs="Arial"/>
          <w:sz w:val="24"/>
          <w:szCs w:val="24"/>
        </w:rPr>
        <w:t>g)</w:t>
      </w:r>
      <w:proofErr w:type="spellStart"/>
      <w:r w:rsidRPr="005E47C9">
        <w:rPr>
          <w:rFonts w:ascii="Arial" w:hAnsi="Arial" w:cs="Arial"/>
          <w:sz w:val="24"/>
          <w:szCs w:val="24"/>
        </w:rPr>
        <w:t>investiţii</w:t>
      </w:r>
      <w:proofErr w:type="spellEnd"/>
      <w:proofErr w:type="gramEnd"/>
      <w:r w:rsidRPr="005E47C9">
        <w:rPr>
          <w:rFonts w:ascii="Arial" w:hAnsi="Arial" w:cs="Arial"/>
          <w:sz w:val="24"/>
          <w:szCs w:val="24"/>
        </w:rPr>
        <w:t xml:space="preserve"> orientate </w:t>
      </w:r>
      <w:proofErr w:type="spellStart"/>
      <w:r w:rsidRPr="005E47C9">
        <w:rPr>
          <w:rFonts w:ascii="Arial" w:hAnsi="Arial" w:cs="Arial"/>
          <w:sz w:val="24"/>
          <w:szCs w:val="24"/>
        </w:rPr>
        <w:t>spre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transferul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activităţilor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transformarea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clădirilor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altor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instituţii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aflate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interiorul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apropierea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aşezărilor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rurale,în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scopul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îmbunătăţiţii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calităţii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vieţii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E47C9">
        <w:rPr>
          <w:rFonts w:ascii="Arial" w:hAnsi="Arial" w:cs="Arial"/>
          <w:sz w:val="24"/>
          <w:szCs w:val="24"/>
        </w:rPr>
        <w:t>creşterii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performantei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mediu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aşezării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respective</w:t>
      </w:r>
    </w:p>
    <w:p w14:paraId="712A873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contribuie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Domeniul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intervenție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6B</w:t>
      </w:r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încurajarea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dezvoltării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locale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zonele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rurale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prevăzut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art. 5, Reg. (UE) nr. 1305/2013.</w:t>
      </w:r>
    </w:p>
    <w:p w14:paraId="0791959F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contribuie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obiectivele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transversale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ale Reg. (UE) nr. 1305/2013</w:t>
      </w:r>
      <w:r w:rsidRPr="005E47C9">
        <w:rPr>
          <w:rFonts w:ascii="Arial" w:hAnsi="Arial" w:cs="Arial"/>
          <w:sz w:val="24"/>
          <w:szCs w:val="24"/>
        </w:rPr>
        <w:t>:</w:t>
      </w:r>
    </w:p>
    <w:p w14:paraId="7725A7C9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sz w:val="24"/>
          <w:szCs w:val="24"/>
        </w:rPr>
        <w:t>Inovare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>:</w:t>
      </w:r>
    </w:p>
    <w:p w14:paraId="7AA2BE9B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Contributia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obiectivul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transversal “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Inovare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consta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sprijinirea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realizarii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investiții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deservi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nevoile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legate de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existența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infrastructurii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asistența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educație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locuitorilor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teritoriul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GAL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Oltul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Puternic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Operațiunile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adresate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grupului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țintă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cuprinde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activitățile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informare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, transfer de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bune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practici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abordărilor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inovative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rezolvarea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problemelor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individuale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5E47C9">
        <w:rPr>
          <w:rFonts w:ascii="Arial" w:hAnsi="Arial" w:cs="Arial"/>
          <w:sz w:val="24"/>
          <w:szCs w:val="24"/>
          <w:lang w:val="en-US"/>
        </w:rPr>
        <w:t>comunității</w:t>
      </w:r>
      <w:proofErr w:type="spellEnd"/>
      <w:r w:rsidRPr="005E47C9">
        <w:rPr>
          <w:rFonts w:ascii="Arial" w:hAnsi="Arial" w:cs="Arial"/>
          <w:sz w:val="24"/>
          <w:szCs w:val="24"/>
          <w:lang w:val="en-US"/>
        </w:rPr>
        <w:t>;</w:t>
      </w:r>
    </w:p>
    <w:p w14:paraId="5077326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sz w:val="24"/>
          <w:szCs w:val="24"/>
        </w:rPr>
        <w:t>atenuarea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sz w:val="24"/>
          <w:szCs w:val="24"/>
        </w:rPr>
        <w:t>schimbărilor</w:t>
      </w:r>
      <w:proofErr w:type="spellEnd"/>
      <w:r w:rsidRPr="005E47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sz w:val="24"/>
          <w:szCs w:val="24"/>
        </w:rPr>
        <w:t>climatice</w:t>
      </w:r>
      <w:proofErr w:type="spellEnd"/>
      <w:r w:rsidRPr="005E47C9">
        <w:rPr>
          <w:rFonts w:ascii="Arial" w:hAnsi="Arial" w:cs="Arial"/>
          <w:sz w:val="24"/>
          <w:szCs w:val="24"/>
        </w:rPr>
        <w:t>:</w:t>
      </w:r>
    </w:p>
    <w:p w14:paraId="07D64BA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ind w:left="15"/>
        <w:jc w:val="both"/>
        <w:rPr>
          <w:rFonts w:ascii="Arial" w:hAnsi="Arial" w:cs="Arial"/>
          <w:sz w:val="24"/>
          <w:szCs w:val="24"/>
          <w:lang w:val="en-US"/>
        </w:rPr>
      </w:pPr>
      <w:r w:rsidRPr="005E47C9"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 w:rsidRPr="005E47C9">
        <w:rPr>
          <w:rFonts w:ascii="Arial" w:hAnsi="Arial" w:cs="Arial"/>
          <w:sz w:val="24"/>
          <w:szCs w:val="24"/>
        </w:rPr>
        <w:t>perațiunile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adresate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grupului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țintă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cuprinde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inclusiv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</w:rPr>
        <w:t>activitățile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informare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transfer de </w:t>
      </w:r>
      <w:proofErr w:type="spellStart"/>
      <w:r w:rsidRPr="005E47C9">
        <w:rPr>
          <w:rFonts w:ascii="Arial" w:hAnsi="Arial" w:cs="Arial"/>
          <w:sz w:val="24"/>
          <w:szCs w:val="24"/>
        </w:rPr>
        <w:t>bune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practici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asupra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protecția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mediului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atenuarea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schimbărilor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climatice</w:t>
      </w:r>
      <w:proofErr w:type="spellEnd"/>
      <w:r w:rsidRPr="005E47C9">
        <w:rPr>
          <w:rFonts w:ascii="Arial" w:hAnsi="Arial" w:cs="Arial"/>
          <w:sz w:val="24"/>
          <w:szCs w:val="24"/>
        </w:rPr>
        <w:t>.</w:t>
      </w:r>
    </w:p>
    <w:p w14:paraId="43210728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Complementaritatea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cu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alte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din SDL</w:t>
      </w:r>
      <w:r w:rsidRPr="005E47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7C9">
        <w:rPr>
          <w:rFonts w:ascii="Arial" w:hAnsi="Arial" w:cs="Arial"/>
          <w:sz w:val="24"/>
          <w:szCs w:val="24"/>
        </w:rPr>
        <w:t>Aceasta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E47C9">
        <w:rPr>
          <w:rFonts w:ascii="Arial" w:hAnsi="Arial" w:cs="Arial"/>
          <w:sz w:val="24"/>
          <w:szCs w:val="24"/>
        </w:rPr>
        <w:t>complementara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sz w:val="24"/>
          <w:szCs w:val="24"/>
        </w:rPr>
        <w:t>măsura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M5/6B</w:t>
      </w:r>
    </w:p>
    <w:p w14:paraId="651C59E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Sinergia</w:t>
      </w:r>
      <w:proofErr w:type="spellEnd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cu </w:t>
      </w:r>
      <w:proofErr w:type="spellStart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alte</w:t>
      </w:r>
      <w:proofErr w:type="spellEnd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măsuri</w:t>
      </w:r>
      <w:proofErr w:type="spellEnd"/>
      <w:r w:rsidRPr="005E47C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din SDL</w:t>
      </w:r>
      <w:r w:rsidRPr="005E47C9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E47C9">
        <w:rPr>
          <w:rFonts w:ascii="Arial" w:hAnsi="Arial" w:cs="Arial"/>
          <w:b/>
          <w:bCs/>
          <w:color w:val="000000"/>
          <w:sz w:val="24"/>
          <w:szCs w:val="24"/>
        </w:rPr>
        <w:t>M4/6A, M5/6B</w:t>
      </w:r>
    </w:p>
    <w:p w14:paraId="0BB2D57B" w14:textId="77777777" w:rsidR="005E47C9" w:rsidRPr="005E47C9" w:rsidRDefault="005E47C9" w:rsidP="005E47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Valoarea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adăugată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măsurii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B4973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Reducerea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decalajelor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dintre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grupuri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marginalizate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restul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populaţiei</w:t>
      </w:r>
      <w:proofErr w:type="spellEnd"/>
    </w:p>
    <w:p w14:paraId="391AEAE8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Îmbunătăţirea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condiţiilor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viaţă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locuitorii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teritoriul</w:t>
      </w:r>
      <w:proofErr w:type="spellEnd"/>
    </w:p>
    <w:p w14:paraId="58B2A7C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Îmbunătăţirea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rurale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crează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premisele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dezvoltare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capitalului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uman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teritoriul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GAL</w:t>
      </w:r>
    </w:p>
    <w:p w14:paraId="58DAC9B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Dezvoltarea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resurselor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umane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utilizarea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know-how</w:t>
      </w:r>
    </w:p>
    <w:p w14:paraId="5C7A590F" w14:textId="77777777" w:rsidR="005E47C9" w:rsidRPr="005E47C9" w:rsidRDefault="005E47C9" w:rsidP="005E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Trimiteri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la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alte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acte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legislative</w:t>
      </w:r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B788E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Legislație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UE</w:t>
      </w:r>
    </w:p>
    <w:p w14:paraId="080B50A6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Regulamentul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(UE) nr. 1305/2013 cu </w:t>
      </w:r>
      <w:proofErr w:type="spellStart"/>
      <w:r w:rsidRPr="005E47C9">
        <w:rPr>
          <w:rFonts w:ascii="Arial" w:hAnsi="Arial" w:cs="Arial"/>
          <w:sz w:val="24"/>
          <w:szCs w:val="24"/>
        </w:rPr>
        <w:t>modificările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completările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ulterioare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35219E29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Regulamentul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(UE) nr. 1303/2013 cu </w:t>
      </w:r>
      <w:proofErr w:type="spellStart"/>
      <w:r w:rsidRPr="005E47C9">
        <w:rPr>
          <w:rFonts w:ascii="Arial" w:hAnsi="Arial" w:cs="Arial"/>
          <w:sz w:val="24"/>
          <w:szCs w:val="24"/>
        </w:rPr>
        <w:t>modificările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completările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ulterioare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65BD6B0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Regulamentul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(UE) nr. 1407/2013 cu </w:t>
      </w:r>
      <w:proofErr w:type="spellStart"/>
      <w:r w:rsidRPr="005E47C9">
        <w:rPr>
          <w:rFonts w:ascii="Arial" w:hAnsi="Arial" w:cs="Arial"/>
          <w:sz w:val="24"/>
          <w:szCs w:val="24"/>
        </w:rPr>
        <w:t>modificările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completările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ulterioare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2EBFC71B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Legislație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Națională</w:t>
      </w:r>
      <w:proofErr w:type="spellEnd"/>
    </w:p>
    <w:p w14:paraId="0E462F4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OG.nr.26/2000 cu </w:t>
      </w:r>
      <w:proofErr w:type="spellStart"/>
      <w:r w:rsidRPr="005E47C9">
        <w:rPr>
          <w:rFonts w:ascii="Arial" w:hAnsi="Arial" w:cs="Arial"/>
          <w:sz w:val="24"/>
          <w:szCs w:val="24"/>
        </w:rPr>
        <w:t>privire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sz w:val="24"/>
          <w:szCs w:val="24"/>
        </w:rPr>
        <w:t>asociații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fundații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E47C9">
        <w:rPr>
          <w:rFonts w:ascii="Arial" w:hAnsi="Arial" w:cs="Arial"/>
          <w:sz w:val="24"/>
          <w:szCs w:val="24"/>
        </w:rPr>
        <w:t>modificările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completările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ulterioare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3591644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Legea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asistenței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nr.292/2011;</w:t>
      </w:r>
    </w:p>
    <w:p w14:paraId="25C1DB2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lastRenderedPageBreak/>
        <w:t xml:space="preserve">HG.nr.383/2015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aprobarea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Strategiei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naţionale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privind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incluziunea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reducerea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sărăciei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perioada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2015-2020.</w:t>
      </w:r>
    </w:p>
    <w:p w14:paraId="19023B32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Legea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asistenței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nr. 292 </w:t>
      </w:r>
      <w:proofErr w:type="gramStart"/>
      <w:r w:rsidRPr="005E47C9">
        <w:rPr>
          <w:rFonts w:ascii="Arial" w:hAnsi="Arial" w:cs="Arial"/>
          <w:sz w:val="24"/>
          <w:szCs w:val="24"/>
        </w:rPr>
        <w:t>din</w:t>
      </w:r>
      <w:proofErr w:type="gramEnd"/>
      <w:r w:rsidRPr="005E47C9">
        <w:rPr>
          <w:rFonts w:ascii="Arial" w:hAnsi="Arial" w:cs="Arial"/>
          <w:sz w:val="24"/>
          <w:szCs w:val="24"/>
        </w:rPr>
        <w:t xml:space="preserve"> 2011</w:t>
      </w:r>
    </w:p>
    <w:p w14:paraId="05A5AB95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E47C9">
        <w:rPr>
          <w:rFonts w:ascii="Arial" w:hAnsi="Arial" w:cs="Arial"/>
          <w:sz w:val="24"/>
          <w:szCs w:val="24"/>
        </w:rPr>
        <w:t xml:space="preserve">HG 867/2015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aprobarea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Nomenclatorului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serviciilor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</w:p>
    <w:p w14:paraId="3FB4325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HG 226/2015 cu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completarile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si</w:t>
      </w:r>
      <w:proofErr w:type="spellEnd"/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modificarile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ulterioare</w:t>
      </w:r>
      <w:proofErr w:type="spellEnd"/>
    </w:p>
    <w:p w14:paraId="7EFD25AC" w14:textId="77777777" w:rsidR="005E47C9" w:rsidRPr="005E47C9" w:rsidRDefault="005E47C9" w:rsidP="005E4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Beneficiari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direcți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>/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indirecți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grup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țintă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9B3C68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Beneficiarii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direcți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sunt:</w:t>
      </w:r>
    </w:p>
    <w:p w14:paraId="6E69449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Entităţi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publice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47C9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5E47C9">
        <w:rPr>
          <w:rFonts w:ascii="Arial" w:hAnsi="Arial" w:cs="Arial"/>
          <w:sz w:val="24"/>
          <w:szCs w:val="24"/>
        </w:rPr>
        <w:t>ex.comunele</w:t>
      </w:r>
      <w:proofErr w:type="spellEnd"/>
      <w:proofErr w:type="gram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>/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asociatii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E47C9">
        <w:rPr>
          <w:rFonts w:ascii="Arial" w:hAnsi="Arial" w:cs="Arial"/>
          <w:sz w:val="24"/>
          <w:szCs w:val="24"/>
        </w:rPr>
        <w:t>acestora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(ADI)) 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private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parteneriate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577A04EA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r w:rsidRPr="005E47C9">
        <w:rPr>
          <w:rFonts w:ascii="Arial" w:hAnsi="Arial" w:cs="Arial"/>
          <w:color w:val="000000"/>
          <w:sz w:val="24"/>
          <w:szCs w:val="24"/>
        </w:rPr>
        <w:t>ONG-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uri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>;</w:t>
      </w:r>
    </w:p>
    <w:p w14:paraId="7F1B62B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Unităţi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cult</w:t>
      </w:r>
    </w:p>
    <w:p w14:paraId="58A7F5C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r w:rsidRPr="005E47C9">
        <w:rPr>
          <w:rFonts w:ascii="Arial" w:hAnsi="Arial" w:cs="Arial"/>
          <w:color w:val="000000"/>
          <w:sz w:val="24"/>
          <w:szCs w:val="24"/>
        </w:rPr>
        <w:t xml:space="preserve">GAL-ul </w:t>
      </w:r>
    </w:p>
    <w:p w14:paraId="3E8CBCB8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Benenficiarul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direct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fie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furnizor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autorizat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autoriza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finalizarea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implementării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proiectului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>.</w:t>
      </w:r>
    </w:p>
    <w:p w14:paraId="3830A820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Beneficiari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indirecți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grup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țintă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>):</w:t>
      </w:r>
    </w:p>
    <w:p w14:paraId="3DAE9FD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Grupuri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vulnerabile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dezavantajate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5E47C9">
        <w:rPr>
          <w:rFonts w:ascii="Arial" w:hAnsi="Arial" w:cs="Arial"/>
          <w:sz w:val="24"/>
          <w:szCs w:val="24"/>
        </w:rPr>
        <w:t>ar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E47C9">
        <w:rPr>
          <w:rFonts w:ascii="Arial" w:hAnsi="Arial" w:cs="Arial"/>
          <w:sz w:val="24"/>
          <w:szCs w:val="24"/>
        </w:rPr>
        <w:t>șomerii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5E47C9">
        <w:rPr>
          <w:rFonts w:ascii="Arial" w:hAnsi="Arial" w:cs="Arial"/>
          <w:sz w:val="24"/>
          <w:szCs w:val="24"/>
        </w:rPr>
        <w:t>termen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lung, </w:t>
      </w:r>
      <w:proofErr w:type="spellStart"/>
      <w:r w:rsidRPr="005E47C9">
        <w:rPr>
          <w:rFonts w:ascii="Arial" w:hAnsi="Arial" w:cs="Arial"/>
          <w:sz w:val="24"/>
          <w:szCs w:val="24"/>
        </w:rPr>
        <w:t>persoanele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handicap, </w:t>
      </w:r>
      <w:proofErr w:type="spellStart"/>
      <w:r w:rsidRPr="005E47C9">
        <w:rPr>
          <w:rFonts w:ascii="Arial" w:hAnsi="Arial" w:cs="Arial"/>
          <w:sz w:val="24"/>
          <w:szCs w:val="24"/>
        </w:rPr>
        <w:t>minoritățile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etnice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comunitățile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marginalizate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toate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vârstele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5E47C9">
        <w:rPr>
          <w:rFonts w:ascii="Arial" w:hAnsi="Arial" w:cs="Arial"/>
          <w:sz w:val="24"/>
          <w:szCs w:val="24"/>
        </w:rPr>
        <w:t>confruntă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sz w:val="24"/>
          <w:szCs w:val="24"/>
        </w:rPr>
        <w:t>sărăcia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excluziunea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socială</w:t>
      </w:r>
      <w:proofErr w:type="spellEnd"/>
    </w:p>
    <w:p w14:paraId="6F365770" w14:textId="77777777" w:rsidR="005E47C9" w:rsidRPr="005E47C9" w:rsidRDefault="005E47C9" w:rsidP="005E47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Tip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sprijin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2C55236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Rambursarea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costurilor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eligibile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suportate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plătite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efectiv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</w:p>
    <w:p w14:paraId="36EF9219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Plăți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avans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E47C9">
        <w:rPr>
          <w:rFonts w:ascii="Arial" w:hAnsi="Arial" w:cs="Arial"/>
          <w:sz w:val="24"/>
          <w:szCs w:val="24"/>
        </w:rPr>
        <w:t>condiția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constituirii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unei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garanții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bancare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unei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garanții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echivalente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corespunzătoare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procentului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100% din </w:t>
      </w:r>
      <w:proofErr w:type="spellStart"/>
      <w:r w:rsidRPr="005E47C9">
        <w:rPr>
          <w:rFonts w:ascii="Arial" w:hAnsi="Arial" w:cs="Arial"/>
          <w:sz w:val="24"/>
          <w:szCs w:val="24"/>
        </w:rPr>
        <w:t>valoarea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avansului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conformitate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art. 45 (4)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art. 63 ale Reg. (UE) nr. 1305/2014,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cazul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proiectelor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investiții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. </w:t>
      </w:r>
    </w:p>
    <w:p w14:paraId="1FC49091" w14:textId="77777777" w:rsidR="005E47C9" w:rsidRPr="005E47C9" w:rsidRDefault="005E47C9" w:rsidP="005E47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Tipuri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acțiuni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eligibile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neeligibile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2EAC91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Acţiuni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eligibile</w:t>
      </w:r>
      <w:proofErr w:type="spellEnd"/>
    </w:p>
    <w:p w14:paraId="14315CF6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Realizarea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infiintarea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modernizarea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sz w:val="24"/>
          <w:szCs w:val="24"/>
        </w:rPr>
        <w:t>/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dotarea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>:</w:t>
      </w:r>
    </w:p>
    <w:p w14:paraId="44C80888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 Centre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prevenirea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combaterea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saraciei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riscului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excluziune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sociala</w:t>
      </w:r>
      <w:proofErr w:type="spellEnd"/>
    </w:p>
    <w:p w14:paraId="48FC27F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(Centre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asistenta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suport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alte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aflate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47C9">
        <w:rPr>
          <w:rFonts w:ascii="Arial" w:hAnsi="Arial" w:cs="Arial"/>
          <w:sz w:val="24"/>
          <w:szCs w:val="24"/>
        </w:rPr>
        <w:t>situatii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</w:t>
      </w:r>
    </w:p>
    <w:p w14:paraId="0C96116A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47C9">
        <w:rPr>
          <w:rFonts w:ascii="Arial" w:hAnsi="Arial" w:cs="Arial"/>
          <w:sz w:val="24"/>
          <w:szCs w:val="24"/>
        </w:rPr>
        <w:t>nevoie;Centre</w:t>
      </w:r>
      <w:proofErr w:type="spellEnd"/>
      <w:proofErr w:type="gram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integrare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E47C9">
        <w:rPr>
          <w:rFonts w:ascii="Arial" w:hAnsi="Arial" w:cs="Arial"/>
          <w:sz w:val="24"/>
          <w:szCs w:val="24"/>
        </w:rPr>
        <w:t>reintegrare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cantina, after-school, </w:t>
      </w:r>
      <w:proofErr w:type="spellStart"/>
      <w:r w:rsidRPr="005E47C9">
        <w:rPr>
          <w:rFonts w:ascii="Arial" w:hAnsi="Arial" w:cs="Arial"/>
          <w:sz w:val="24"/>
          <w:szCs w:val="24"/>
        </w:rPr>
        <w:t>crese</w:t>
      </w:r>
      <w:proofErr w:type="spellEnd"/>
    </w:p>
    <w:p w14:paraId="7426CB7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>etc.);</w:t>
      </w:r>
    </w:p>
    <w:p w14:paraId="0F57E09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 Centre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vârstnice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(Centre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vârstnice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; Centre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socializare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petrecerea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timpului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47C9">
        <w:rPr>
          <w:rFonts w:ascii="Arial" w:hAnsi="Arial" w:cs="Arial"/>
          <w:sz w:val="24"/>
          <w:szCs w:val="24"/>
        </w:rPr>
        <w:t>liber(</w:t>
      </w:r>
      <w:proofErr w:type="gramEnd"/>
      <w:r w:rsidRPr="005E47C9">
        <w:rPr>
          <w:rFonts w:ascii="Arial" w:hAnsi="Arial" w:cs="Arial"/>
          <w:sz w:val="24"/>
          <w:szCs w:val="24"/>
        </w:rPr>
        <w:t>tip club)etc.);</w:t>
      </w:r>
    </w:p>
    <w:p w14:paraId="39506E7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 Centre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copii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familie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(Centre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copii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E47C9">
        <w:rPr>
          <w:rFonts w:ascii="Arial" w:hAnsi="Arial" w:cs="Arial"/>
          <w:sz w:val="24"/>
          <w:szCs w:val="24"/>
        </w:rPr>
        <w:t>copii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47C9">
        <w:rPr>
          <w:rFonts w:ascii="Arial" w:hAnsi="Arial" w:cs="Arial"/>
          <w:sz w:val="24"/>
          <w:szCs w:val="24"/>
        </w:rPr>
        <w:t>familie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copii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separate </w:t>
      </w:r>
      <w:proofErr w:type="spellStart"/>
      <w:r w:rsidRPr="005E47C9">
        <w:rPr>
          <w:rFonts w:ascii="Arial" w:hAnsi="Arial" w:cs="Arial"/>
          <w:sz w:val="24"/>
          <w:szCs w:val="24"/>
        </w:rPr>
        <w:t>sau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47C9">
        <w:rPr>
          <w:rFonts w:ascii="Arial" w:hAnsi="Arial" w:cs="Arial"/>
          <w:sz w:val="24"/>
          <w:szCs w:val="24"/>
        </w:rPr>
        <w:t>risc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separare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5E47C9">
        <w:rPr>
          <w:rFonts w:ascii="Arial" w:hAnsi="Arial" w:cs="Arial"/>
          <w:sz w:val="24"/>
          <w:szCs w:val="24"/>
        </w:rPr>
        <w:t>parinti;consiliere</w:t>
      </w:r>
      <w:proofErr w:type="spellEnd"/>
      <w:proofErr w:type="gram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sprijin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copii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parinti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Centre de </w:t>
      </w:r>
      <w:proofErr w:type="spellStart"/>
      <w:r w:rsidRPr="005E47C9">
        <w:rPr>
          <w:rFonts w:ascii="Arial" w:hAnsi="Arial" w:cs="Arial"/>
          <w:sz w:val="24"/>
          <w:szCs w:val="24"/>
        </w:rPr>
        <w:t>zi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dezvoltarea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deprinderilor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viata</w:t>
      </w:r>
      <w:proofErr w:type="spellEnd"/>
      <w:r w:rsidRPr="005E47C9">
        <w:rPr>
          <w:rFonts w:ascii="Arial" w:hAnsi="Arial" w:cs="Arial"/>
          <w:sz w:val="24"/>
          <w:szCs w:val="24"/>
        </w:rPr>
        <w:t>, etc.);</w:t>
      </w:r>
    </w:p>
    <w:p w14:paraId="5DAA314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 Centre </w:t>
      </w:r>
      <w:proofErr w:type="spellStart"/>
      <w:r w:rsidRPr="005E47C9">
        <w:rPr>
          <w:rFonts w:ascii="Arial" w:hAnsi="Arial" w:cs="Arial"/>
          <w:sz w:val="24"/>
          <w:szCs w:val="24"/>
        </w:rPr>
        <w:t>pentru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persoane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sz w:val="24"/>
          <w:szCs w:val="24"/>
        </w:rPr>
        <w:t>dizabilitati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(exclusive </w:t>
      </w:r>
      <w:proofErr w:type="spellStart"/>
      <w:r w:rsidRPr="005E47C9">
        <w:rPr>
          <w:rFonts w:ascii="Arial" w:hAnsi="Arial" w:cs="Arial"/>
          <w:sz w:val="24"/>
          <w:szCs w:val="24"/>
        </w:rPr>
        <w:t>rezidentiale</w:t>
      </w:r>
      <w:proofErr w:type="spellEnd"/>
      <w:r w:rsidRPr="005E47C9">
        <w:rPr>
          <w:rFonts w:ascii="Arial" w:hAnsi="Arial" w:cs="Arial"/>
          <w:sz w:val="24"/>
          <w:szCs w:val="24"/>
        </w:rPr>
        <w:t>);</w:t>
      </w:r>
    </w:p>
    <w:p w14:paraId="65325D0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</w:rPr>
        <w:t xml:space="preserve">o Centre de </w:t>
      </w:r>
      <w:proofErr w:type="spellStart"/>
      <w:r w:rsidRPr="005E47C9">
        <w:rPr>
          <w:rFonts w:ascii="Arial" w:hAnsi="Arial" w:cs="Arial"/>
          <w:sz w:val="24"/>
          <w:szCs w:val="24"/>
        </w:rPr>
        <w:t>servicii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integrate (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medicale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informare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consiliere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educatie</w:t>
      </w:r>
      <w:proofErr w:type="spellEnd"/>
      <w:r w:rsidRPr="005E47C9">
        <w:rPr>
          <w:rFonts w:ascii="Arial" w:hAnsi="Arial" w:cs="Arial"/>
          <w:sz w:val="24"/>
          <w:szCs w:val="24"/>
        </w:rPr>
        <w:t>,</w:t>
      </w:r>
    </w:p>
    <w:p w14:paraId="582760EE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formare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profesionala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ocupare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5E47C9">
        <w:rPr>
          <w:rFonts w:ascii="Arial" w:hAnsi="Arial" w:cs="Arial"/>
          <w:sz w:val="24"/>
          <w:szCs w:val="24"/>
        </w:rPr>
        <w:t>piata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muncii</w:t>
      </w:r>
      <w:proofErr w:type="spellEnd"/>
      <w:r w:rsidRPr="005E47C9">
        <w:rPr>
          <w:rFonts w:ascii="Arial" w:hAnsi="Arial" w:cs="Arial"/>
          <w:sz w:val="24"/>
          <w:szCs w:val="24"/>
        </w:rPr>
        <w:t>)</w:t>
      </w:r>
    </w:p>
    <w:p w14:paraId="79BE7BA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Proiectele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asigure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functionarea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prin</w:t>
      </w:r>
      <w:proofErr w:type="spellEnd"/>
    </w:p>
    <w:p w14:paraId="1B9B874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operationalizarea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infrastructurii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catre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47C9">
        <w:rPr>
          <w:rFonts w:ascii="Arial" w:hAnsi="Arial" w:cs="Arial"/>
          <w:sz w:val="24"/>
          <w:szCs w:val="24"/>
        </w:rPr>
        <w:t>entitate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acreditata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5E47C9">
        <w:rPr>
          <w:rFonts w:ascii="Arial" w:hAnsi="Arial" w:cs="Arial"/>
          <w:sz w:val="24"/>
          <w:szCs w:val="24"/>
        </w:rPr>
        <w:t>furnizor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servicii</w:t>
      </w:r>
      <w:proofErr w:type="spellEnd"/>
    </w:p>
    <w:p w14:paraId="38A2345E" w14:textId="77777777" w:rsid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5E47C9">
        <w:rPr>
          <w:rFonts w:ascii="Arial" w:hAnsi="Arial" w:cs="Arial"/>
          <w:sz w:val="24"/>
          <w:szCs w:val="24"/>
        </w:rPr>
        <w:t>legislatiei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E47C9">
        <w:rPr>
          <w:rFonts w:ascii="Arial" w:hAnsi="Arial" w:cs="Arial"/>
          <w:sz w:val="24"/>
          <w:szCs w:val="24"/>
        </w:rPr>
        <w:t>vigoare</w:t>
      </w:r>
      <w:proofErr w:type="spellEnd"/>
      <w:r w:rsidRPr="005E47C9">
        <w:rPr>
          <w:rFonts w:ascii="Arial" w:hAnsi="Arial" w:cs="Arial"/>
          <w:sz w:val="24"/>
          <w:szCs w:val="24"/>
        </w:rPr>
        <w:t>.</w:t>
      </w:r>
    </w:p>
    <w:p w14:paraId="41BFD81C" w14:textId="77777777" w:rsid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D27B7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D78781" w14:textId="77777777" w:rsidR="005E47C9" w:rsidRPr="005E47C9" w:rsidRDefault="005E47C9" w:rsidP="005E47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Condiții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eligibilitate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77642B2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Investiția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E47C9">
        <w:rPr>
          <w:rFonts w:ascii="Arial" w:hAnsi="Arial" w:cs="Arial"/>
          <w:sz w:val="24"/>
          <w:szCs w:val="24"/>
        </w:rPr>
        <w:t>realizeze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teritoriul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GAL</w:t>
      </w:r>
    </w:p>
    <w:p w14:paraId="1EE9708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>- S</w:t>
      </w:r>
      <w:proofErr w:type="spellStart"/>
      <w:r w:rsidRPr="005E47C9">
        <w:rPr>
          <w:rFonts w:ascii="Arial" w:hAnsi="Arial" w:cs="Arial"/>
          <w:sz w:val="24"/>
          <w:szCs w:val="24"/>
        </w:rPr>
        <w:t>olicitantul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facă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parte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categoria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beneficiarilor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eligibili</w:t>
      </w:r>
      <w:proofErr w:type="spellEnd"/>
    </w:p>
    <w:p w14:paraId="7C8F6214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Investiția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corelare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sz w:val="24"/>
          <w:szCs w:val="24"/>
        </w:rPr>
        <w:t>strategia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dezvoltare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locală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aprobată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47C9">
        <w:rPr>
          <w:rFonts w:ascii="Arial" w:hAnsi="Arial" w:cs="Arial"/>
          <w:sz w:val="24"/>
          <w:szCs w:val="24"/>
        </w:rPr>
        <w:t>corespunzătoare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serviciilor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sociale</w:t>
      </w:r>
      <w:proofErr w:type="spellEnd"/>
    </w:p>
    <w:p w14:paraId="23B29473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Investiția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E47C9">
        <w:rPr>
          <w:rFonts w:ascii="Arial" w:hAnsi="Arial" w:cs="Arial"/>
          <w:sz w:val="24"/>
          <w:szCs w:val="24"/>
        </w:rPr>
        <w:t>încadreze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cel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puțin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unul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sz w:val="24"/>
          <w:szCs w:val="24"/>
        </w:rPr>
        <w:t>tipurile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sprijin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prevăzute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prin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măsură</w:t>
      </w:r>
      <w:proofErr w:type="spellEnd"/>
    </w:p>
    <w:p w14:paraId="14F5CAEF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E47C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sz w:val="24"/>
          <w:szCs w:val="24"/>
        </w:rPr>
        <w:t>Proiectul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trebuie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demonstreze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este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sustenabil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ulterior </w:t>
      </w:r>
      <w:proofErr w:type="spellStart"/>
      <w:r w:rsidRPr="005E47C9">
        <w:rPr>
          <w:rFonts w:ascii="Arial" w:hAnsi="Arial" w:cs="Arial"/>
          <w:sz w:val="24"/>
          <w:szCs w:val="24"/>
        </w:rPr>
        <w:t>punerii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funcţiune</w:t>
      </w:r>
      <w:proofErr w:type="spellEnd"/>
      <w:r w:rsidRPr="005E47C9">
        <w:rPr>
          <w:rFonts w:ascii="Arial" w:hAnsi="Arial" w:cs="Arial"/>
          <w:sz w:val="24"/>
          <w:szCs w:val="24"/>
        </w:rPr>
        <w:t>;</w:t>
      </w:r>
    </w:p>
    <w:p w14:paraId="3476ED6B" w14:textId="77777777" w:rsidR="005E47C9" w:rsidRPr="005E47C9" w:rsidRDefault="005E47C9" w:rsidP="005E47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Criterii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selecție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17EFD5C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Număr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persoane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beneficiază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  <w:lang w:val="en-US"/>
        </w:rPr>
        <w:t>servicii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sociale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îmbunătăţite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beneficiari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indirecţi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>)</w:t>
      </w:r>
    </w:p>
    <w:p w14:paraId="0FCA83F2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47C9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Proiectul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presupune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investiţii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producerea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utilizarea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energiei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surse</w:t>
      </w:r>
      <w:proofErr w:type="spellEnd"/>
      <w:r w:rsidRPr="005E47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color w:val="000000"/>
          <w:sz w:val="24"/>
          <w:szCs w:val="24"/>
        </w:rPr>
        <w:t>regenerabile</w:t>
      </w:r>
      <w:proofErr w:type="spellEnd"/>
    </w:p>
    <w:p w14:paraId="6734A65D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Criteriile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selecție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E47C9">
        <w:rPr>
          <w:rFonts w:ascii="Arial" w:hAnsi="Arial" w:cs="Arial"/>
          <w:sz w:val="24"/>
          <w:szCs w:val="24"/>
        </w:rPr>
        <w:t>detaliate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suplimentar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Ghidul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Solicitantului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respecta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prevederile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art. 49 al Reg. (UE) nr. 1305/2013 </w:t>
      </w:r>
      <w:proofErr w:type="spellStart"/>
      <w:r w:rsidRPr="005E47C9">
        <w:rPr>
          <w:rFonts w:ascii="Arial" w:hAnsi="Arial" w:cs="Arial"/>
          <w:sz w:val="24"/>
          <w:szCs w:val="24"/>
        </w:rPr>
        <w:t>urmărind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asigure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tratamentul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egal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E47C9">
        <w:rPr>
          <w:rFonts w:ascii="Arial" w:hAnsi="Arial" w:cs="Arial"/>
          <w:sz w:val="24"/>
          <w:szCs w:val="24"/>
        </w:rPr>
        <w:t>solicitanților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5E47C9">
        <w:rPr>
          <w:rFonts w:ascii="Arial" w:hAnsi="Arial" w:cs="Arial"/>
          <w:sz w:val="24"/>
          <w:szCs w:val="24"/>
        </w:rPr>
        <w:t>mai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bună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utilizare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E47C9">
        <w:rPr>
          <w:rFonts w:ascii="Arial" w:hAnsi="Arial" w:cs="Arial"/>
          <w:sz w:val="24"/>
          <w:szCs w:val="24"/>
        </w:rPr>
        <w:t>resurselor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financiare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și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direcționarea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măsurilor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conformitate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E47C9">
        <w:rPr>
          <w:rFonts w:ascii="Arial" w:hAnsi="Arial" w:cs="Arial"/>
          <w:sz w:val="24"/>
          <w:szCs w:val="24"/>
        </w:rPr>
        <w:t>prioritățile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Uniunii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în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materie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E47C9">
        <w:rPr>
          <w:rFonts w:ascii="Arial" w:hAnsi="Arial" w:cs="Arial"/>
          <w:sz w:val="24"/>
          <w:szCs w:val="24"/>
        </w:rPr>
        <w:t>dezvoltare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rurală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. </w:t>
      </w:r>
    </w:p>
    <w:p w14:paraId="69DF3A9D" w14:textId="77777777" w:rsidR="005E47C9" w:rsidRPr="005E47C9" w:rsidRDefault="005E47C9" w:rsidP="005E47C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Sume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aplicabile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și</w:t>
      </w:r>
      <w:proofErr w:type="spellEnd"/>
      <w:r w:rsidRPr="005E47C9">
        <w:rPr>
          <w:rFonts w:ascii="Arial" w:hAnsi="Arial" w:cs="Arial"/>
          <w:b/>
          <w:bCs/>
          <w:sz w:val="24"/>
          <w:szCs w:val="24"/>
          <w:u w:val="single"/>
        </w:rPr>
        <w:t xml:space="preserve"> rata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  <w:u w:val="single"/>
        </w:rPr>
        <w:t>sprijinului</w:t>
      </w:r>
      <w:proofErr w:type="spellEnd"/>
      <w:r w:rsidRPr="005E47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D88A67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47C9">
        <w:rPr>
          <w:rFonts w:ascii="Arial" w:hAnsi="Arial" w:cs="Arial"/>
          <w:sz w:val="24"/>
          <w:szCs w:val="24"/>
        </w:rPr>
        <w:t>Ponderea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intensităţii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sprijinului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7C9">
        <w:rPr>
          <w:rFonts w:ascii="Arial" w:hAnsi="Arial" w:cs="Arial"/>
          <w:sz w:val="24"/>
          <w:szCs w:val="24"/>
        </w:rPr>
        <w:t>va</w:t>
      </w:r>
      <w:proofErr w:type="spellEnd"/>
      <w:r w:rsidRPr="005E47C9">
        <w:rPr>
          <w:rFonts w:ascii="Arial" w:hAnsi="Arial" w:cs="Arial"/>
          <w:sz w:val="24"/>
          <w:szCs w:val="24"/>
        </w:rPr>
        <w:t xml:space="preserve"> fi de </w:t>
      </w:r>
      <w:r w:rsidRPr="005E47C9">
        <w:rPr>
          <w:rFonts w:ascii="Arial" w:hAnsi="Arial" w:cs="Arial"/>
          <w:b/>
          <w:bCs/>
          <w:sz w:val="24"/>
          <w:szCs w:val="24"/>
        </w:rPr>
        <w:t>100%</w:t>
      </w:r>
      <w:r w:rsidRPr="005E47C9">
        <w:rPr>
          <w:rFonts w:ascii="Arial" w:hAnsi="Arial" w:cs="Arial"/>
          <w:sz w:val="24"/>
          <w:szCs w:val="24"/>
        </w:rPr>
        <w:t xml:space="preserve">, min </w:t>
      </w:r>
      <w:r w:rsidRPr="005E47C9">
        <w:rPr>
          <w:rFonts w:ascii="Arial" w:hAnsi="Arial" w:cs="Arial"/>
          <w:b/>
          <w:bCs/>
          <w:sz w:val="24"/>
          <w:szCs w:val="24"/>
        </w:rPr>
        <w:t>5000 euro</w:t>
      </w:r>
      <w:r w:rsidRPr="005E47C9">
        <w:rPr>
          <w:rFonts w:ascii="Arial" w:hAnsi="Arial" w:cs="Arial"/>
          <w:sz w:val="24"/>
          <w:szCs w:val="24"/>
        </w:rPr>
        <w:t xml:space="preserve"> – max </w:t>
      </w:r>
      <w:r w:rsidRPr="005E47C9">
        <w:rPr>
          <w:rFonts w:ascii="Arial" w:hAnsi="Arial" w:cs="Arial"/>
          <w:b/>
          <w:bCs/>
          <w:sz w:val="24"/>
          <w:szCs w:val="24"/>
        </w:rPr>
        <w:t>100.000 euro</w:t>
      </w:r>
      <w:r w:rsidRPr="005E47C9">
        <w:rPr>
          <w:rFonts w:ascii="Arial" w:hAnsi="Arial" w:cs="Arial"/>
          <w:sz w:val="24"/>
          <w:szCs w:val="24"/>
        </w:rPr>
        <w:t xml:space="preserve"> </w:t>
      </w:r>
      <w:r w:rsidRPr="005E47C9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5E47C9">
        <w:rPr>
          <w:rFonts w:ascii="Arial" w:hAnsi="Arial" w:cs="Arial"/>
          <w:b/>
          <w:bCs/>
          <w:sz w:val="24"/>
          <w:szCs w:val="24"/>
        </w:rPr>
        <w:t>proiect</w:t>
      </w:r>
      <w:proofErr w:type="spellEnd"/>
    </w:p>
    <w:p w14:paraId="15426471" w14:textId="77777777" w:rsidR="005E47C9" w:rsidRPr="005E47C9" w:rsidRDefault="005E47C9" w:rsidP="005E47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F14006B" w14:textId="77777777" w:rsidR="005E47C9" w:rsidRPr="005E47C9" w:rsidRDefault="005E47C9" w:rsidP="005E47C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auto"/>
          <w:u w:val="single"/>
        </w:rPr>
      </w:pPr>
      <w:r w:rsidRPr="005E47C9">
        <w:rPr>
          <w:rFonts w:ascii="Arial" w:hAnsi="Arial" w:cs="Arial"/>
          <w:b/>
          <w:bCs/>
          <w:color w:val="auto"/>
          <w:u w:val="single"/>
        </w:rPr>
        <w:t xml:space="preserve">Indicatori de monitorizare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854"/>
      </w:tblGrid>
      <w:tr w:rsidR="005E47C9" w:rsidRPr="005E47C9" w14:paraId="12C8DF01" w14:textId="77777777" w:rsidTr="00613FA2">
        <w:tc>
          <w:tcPr>
            <w:tcW w:w="3227" w:type="dxa"/>
          </w:tcPr>
          <w:p w14:paraId="2D60D9A5" w14:textId="77777777" w:rsidR="005E47C9" w:rsidRPr="005E47C9" w:rsidRDefault="005E47C9" w:rsidP="005E47C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5E47C9">
              <w:rPr>
                <w:rFonts w:ascii="Arial" w:hAnsi="Arial" w:cs="Arial"/>
                <w:b/>
                <w:color w:val="auto"/>
              </w:rPr>
              <w:t>Domenii de intervenție</w:t>
            </w:r>
          </w:p>
        </w:tc>
        <w:tc>
          <w:tcPr>
            <w:tcW w:w="5985" w:type="dxa"/>
          </w:tcPr>
          <w:p w14:paraId="778A616F" w14:textId="77777777" w:rsidR="005E47C9" w:rsidRPr="005E47C9" w:rsidRDefault="005E47C9" w:rsidP="005E47C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5E47C9">
              <w:rPr>
                <w:rFonts w:ascii="Arial" w:hAnsi="Arial" w:cs="Arial"/>
                <w:b/>
                <w:color w:val="auto"/>
              </w:rPr>
              <w:t>Indicator de monitorizare</w:t>
            </w:r>
          </w:p>
        </w:tc>
      </w:tr>
      <w:tr w:rsidR="005E47C9" w:rsidRPr="005E47C9" w14:paraId="1BE9DFD2" w14:textId="77777777" w:rsidTr="00613FA2">
        <w:trPr>
          <w:trHeight w:val="598"/>
        </w:trPr>
        <w:tc>
          <w:tcPr>
            <w:tcW w:w="3227" w:type="dxa"/>
          </w:tcPr>
          <w:p w14:paraId="3F1FF09F" w14:textId="77777777" w:rsidR="005E47C9" w:rsidRPr="005E47C9" w:rsidRDefault="005E47C9" w:rsidP="005E47C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5E47C9">
              <w:rPr>
                <w:rFonts w:ascii="Arial" w:hAnsi="Arial" w:cs="Arial"/>
                <w:b/>
                <w:color w:val="auto"/>
              </w:rPr>
              <w:t>6B</w:t>
            </w:r>
          </w:p>
        </w:tc>
        <w:tc>
          <w:tcPr>
            <w:tcW w:w="5985" w:type="dxa"/>
          </w:tcPr>
          <w:p w14:paraId="475ED3A3" w14:textId="77777777" w:rsidR="005E47C9" w:rsidRPr="005E47C9" w:rsidRDefault="005E47C9" w:rsidP="005E47C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5E47C9">
              <w:rPr>
                <w:rFonts w:ascii="Arial" w:hAnsi="Arial" w:cs="Arial"/>
                <w:color w:val="auto"/>
              </w:rPr>
              <w:t xml:space="preserve">Populația netă care beneficiază de servicii/infrastructuri îmbunătățite </w:t>
            </w:r>
            <w:r w:rsidRPr="005E47C9">
              <w:rPr>
                <w:rFonts w:ascii="Arial" w:hAnsi="Arial" w:cs="Arial"/>
                <w:b/>
                <w:color w:val="auto"/>
              </w:rPr>
              <w:t>2500 locuitori</w:t>
            </w:r>
          </w:p>
        </w:tc>
      </w:tr>
      <w:tr w:rsidR="005E47C9" w:rsidRPr="005E47C9" w14:paraId="0EA04B6D" w14:textId="77777777" w:rsidTr="00613FA2">
        <w:tc>
          <w:tcPr>
            <w:tcW w:w="3227" w:type="dxa"/>
          </w:tcPr>
          <w:p w14:paraId="763C3954" w14:textId="77777777" w:rsidR="005E47C9" w:rsidRPr="005E47C9" w:rsidRDefault="005E47C9" w:rsidP="005E47C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5E47C9">
              <w:rPr>
                <w:rFonts w:ascii="Arial" w:hAnsi="Arial" w:cs="Arial"/>
                <w:b/>
                <w:color w:val="auto"/>
              </w:rPr>
              <w:t>1A</w:t>
            </w:r>
          </w:p>
        </w:tc>
        <w:tc>
          <w:tcPr>
            <w:tcW w:w="5985" w:type="dxa"/>
          </w:tcPr>
          <w:p w14:paraId="7F7034A3" w14:textId="77777777" w:rsidR="005E47C9" w:rsidRPr="005E47C9" w:rsidRDefault="005E47C9" w:rsidP="005E47C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47C9">
              <w:rPr>
                <w:rFonts w:ascii="Arial" w:hAnsi="Arial" w:cs="Arial"/>
                <w:sz w:val="24"/>
                <w:szCs w:val="24"/>
              </w:rPr>
              <w:t>Cheltuieli</w:t>
            </w:r>
            <w:proofErr w:type="spellEnd"/>
            <w:r w:rsidRPr="005E4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7C9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5E4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47C9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5E4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7C9">
              <w:rPr>
                <w:rFonts w:ascii="Arial" w:hAnsi="Arial" w:cs="Arial"/>
                <w:b/>
                <w:sz w:val="24"/>
                <w:szCs w:val="24"/>
              </w:rPr>
              <w:t>230220 euro</w:t>
            </w:r>
          </w:p>
        </w:tc>
      </w:tr>
    </w:tbl>
    <w:p w14:paraId="367A51F7" w14:textId="77777777" w:rsidR="00D94EDC" w:rsidRPr="005E47C9" w:rsidRDefault="00D94EDC" w:rsidP="005E47C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94EDC" w:rsidRPr="005E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E6E"/>
    <w:multiLevelType w:val="hybridMultilevel"/>
    <w:tmpl w:val="AF328A1E"/>
    <w:lvl w:ilvl="0" w:tplc="646AA76E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D318F"/>
    <w:multiLevelType w:val="hybridMultilevel"/>
    <w:tmpl w:val="C2748160"/>
    <w:lvl w:ilvl="0" w:tplc="B9544B72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B2CA8"/>
    <w:multiLevelType w:val="hybridMultilevel"/>
    <w:tmpl w:val="C980B320"/>
    <w:lvl w:ilvl="0" w:tplc="BBC0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02445"/>
    <w:multiLevelType w:val="hybridMultilevel"/>
    <w:tmpl w:val="6D5CC932"/>
    <w:lvl w:ilvl="0" w:tplc="EC88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C9"/>
    <w:rsid w:val="0022696A"/>
    <w:rsid w:val="005E47C9"/>
    <w:rsid w:val="00BC1527"/>
    <w:rsid w:val="00C2233C"/>
    <w:rsid w:val="00D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45C"/>
  <w15:chartTrackingRefBased/>
  <w15:docId w15:val="{075DA48B-7EA3-4F68-88BC-4485ED6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7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7C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5E47C9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5E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OLTENIA CONSULT SRL - Lucian Naum</dc:creator>
  <cp:keywords/>
  <dc:description/>
  <cp:lastModifiedBy>LUCIAN NAUM</cp:lastModifiedBy>
  <cp:revision>2</cp:revision>
  <dcterms:created xsi:type="dcterms:W3CDTF">2017-09-26T09:45:00Z</dcterms:created>
  <dcterms:modified xsi:type="dcterms:W3CDTF">2018-07-23T06:55:00Z</dcterms:modified>
</cp:coreProperties>
</file>